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(2025)遵监提请减字第196号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罪犯田应双，男，土家族，小学文化，贵州省思南县人，现在贵州省遵义监狱服刑。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10月11日，贵州省铜仁市中级人民法院作出(2013)铜中刑初字第55号刑事判决，认定田应双犯故意杀人罪，判处死刑、缓期二年执行，剥夺政治权利终身。限制减刑。2014年3月6日，贵州省高级人民法院作出(2014)黔高刑三复字第2号刑事裁定，核准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判决发生法律效力后于2014年5月13日交付贵州省遵义监狱执行。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2016年9月9日经贵州省高级人民法院裁定减为无期徒刑，剥夺政治权利终身，限制减刑。2022年8月25日经贵州省高级人民法院裁定减为有期徒刑二十年，剥夺政治权利改为十年，限制减刑。（现刑期自2022年8月25日起至2047年8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一、认罪悔罪方面：罪犯田应双在服刑期间，能服从法院判决，认罪悔罪。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二、遵守法律法规及监规方面：罪犯田应双在服刑期间，认真遵守法律法规及监规纪律，服从管教。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五、履行财产性判项方面：无财产性判项。月均消费243元，狱内账户余额5777.87元。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8月获1个表扬；2021年9月至2022年1月获1个表扬；2022年2月至2022年7月获1个表扬；2022年8月至2022年12月获1个表扬；2023年1月至2023年6月获表扬和物质奖励1次；2023年7月至2023年11月获1个表扬；2023年12月至2024年4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经审查，我院认为：罪犯田应双符合提请减刑条件。未发现提请减刑建议不当，同意将案件交监狱长办公会审核。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综上所述，罪犯田应双自上次裁定减刑以来，能认真遵守监规，接受教育改造，确有悔改表现。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田应双提请减去有期徒刑五个月，剥夺政治权利十年不变，并限制减刑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61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2025-05-12T07:07:49Z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