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罪犯苟建红，男，汉族，初中文化，贵州省习水县人，现在贵州省遵义监狱服刑。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2014年1月24日，贵州省遵义市中级人民法院作出（2014）遵市法刑一初字第9号刑事判决，认定罪犯苟建红犯贩卖毒品罪，判处无期徒刑，剥夺政治权利终身，没收个人财产人民币十万元。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判决发生法律效力后于2014年3月10日交付贵州省遵义监狱执行。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六个月，剥夺政治权利改为八年；2019年6月26日经贵州省遵义市中级人民法院裁定减去有期徒刑七个月，剥夺政治权利八年及没收个人财产100000元不变；2022年6月1日经贵州省遵义市中级人民法院裁定减去有期徒刑七个月，剥夺政治权利八年不变。（现刑期自2016年9月9日起至2037年1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一、认罪悔罪方面：罪犯苟建红在服刑期间，能服从法院判决，认罪悔罪。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二、遵守法律法规及监规方面：罪犯苟建红在服刑期间，认真遵守法律法规及监规纪律，服从管教。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5月能积极参加劳动，按时完成劳动任务，表现好。2021年6月至2024年4月期间，经监狱罪犯劳动能力评估领导小组集体研究，评估该犯劳动能力为：为劳动能力。故该期间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五、履行财产性判项方面：没收个人财产人民币十万元(已全部执行)；狱内月均消费345.92元，狱内账户余额6975.25元。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经审查，我院认为：罪犯苟建红符合提请减刑条件。未发现提请减刑建议不当，同意将案件交监狱长办公会审核。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综上所述，罪犯苟建红自上次裁定减刑以来，能认真遵守监规，接受教育改造，确有悔改表现。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苟建红提请减去有期徒刑八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E76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2025-05-12T07:15:28Z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