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罪犯赵文洪，男，汉族，小学文化，贵州省仁怀市人，现在贵州省遵义监狱服刑。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11日，贵州省遵义市中级人民法院作出（2014）遵市法刑一初字第33号刑事判决，认定赵文洪犯故意伤害罪,聚众扰乱交通秩序罪，判处有期徒刑十六年（刑期自2013年7月10日起至2029年7月9日止）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判决发生法律效力后于2014年10月17日交付贵州省遵义监狱执行。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九个月，剥夺政治权利五年；2019年11月12日经贵州省遵义市中级人民法院裁定减去有期徒刑九个月，剥夺政治权利五年；2022年12月14日经贵州省遵义市中级人民法院裁定减去有期徒刑七个月。（现刑期自2013年7月10日起至2027年6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一、认罪悔罪方面：罪犯赵文洪在服刑期间，能服从法院判决，认罪悔罪。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二、遵守法律法规及监规方面：罪犯赵文洪在服刑期间，认真遵守法律法规及监规纪律，服从管教。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表扬和物质奖励1次；2022年10月至2023年3月获1个表扬；2023年4月至2023年9月获1个表扬；2023年10月至2024年3月获1个表扬；2024年4月至2024年9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经审查，我院认为：罪犯赵文洪符合提请减刑条件。未发现提请减刑建议不当，同意将案件交监狱长办公会审核。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综上所述，罪犯赵文洪自上次裁定减刑以来，能认真遵守监规，接受教育改造，确有悔改表现。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文洪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714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2025-05-12T07:15:52Z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