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罪犯陈开，男，汉族，初中文化，贵州省仁怀市人，现在贵州省遵义监狱服刑。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29日，贵州省遵义市中级人民法院作出（2014）遵市法刑一初字第8号刑事附带民事判决，认定陈开犯故意杀人罪，判处有期徒刑十五年，剥夺政治权利五年，赔偿附带民事诉讼原告人经济损失113000元。原审附带民事诉讼原告人不服，提出上诉。2014年8月6日，贵州省高级人民法院作出（2014）黔高刑一终字第159号刑事附带民事裁定，驳回上诉，维持原判。刑期自2013年5月26日起至2028年5月25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八个月，剥夺政治权利五年；2019年11月12日经贵州省遵义市中级人民法院裁定减去有期徒刑八个月，剥夺政治权利五年；2022年12月14日经贵州省遵义市中级人民法院裁定减去有期徒刑七个月，剥夺政治权利五年。（现刑期自2013年5月26日起至2026年6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一、认罪悔罪方面：罪犯陈开在服刑期间，能服从法院判决，认罪悔罪。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二、遵守法律法规及监规方面：罪犯陈开在服刑期间，认真遵守法律法规及监规纪律，服从管教。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五、履行财产性判项方面：赔偿附带民事诉讼原告人经济损失113000元，上次减刑已履行完毕。月均消费451元，狱内账户余额1870.05元。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6月获1个表扬；2022年7月至2022年12月获1个表扬；2023年1月至2023年6月获1个表扬；2023年7月至2023年12月获1个表扬；2024年1月至2024年6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经审查，我院认为：罪犯陈开符合提请减刑条件。未发现提请减刑建议不当，同意将案件交监狱长办公会审核。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综上所述，罪犯陈开自上次裁定减刑以来，能认真遵守监规，接受教育改造，确有悔改表现。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开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CD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2025-05-12T07:17:34Z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