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罪犯黄超，男，汉族，初中文化，贵州省桐梓县人，现在贵州省遵义监狱服刑。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2月26日，贵州省遵义市中级人民法院作出（2014）遵市法少刑初字第2号刑事附带民事判决，认定黄超犯抢劫罪，判处无期徒刑，剥夺政治权利终身，罚金3000元。原审附带民事诉讼原告人不服，提出上诉。2014年6月13日，贵州省高级人民法院作出（2014）黔高刑一终字第123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零七个月，剥夺政治权利改为八年；2019年6月26日经贵州省遵义市中级人民法院裁定减去有期徒刑八个月，剥夺政治权利八年；2022年6月29日经贵州省遵义市中级人民法院裁定减去有期徒刑五个月，剥夺政治权利八年。（现刑期自2016年12月26日起至2037年6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一、认罪悔罪方面：罪犯黄超在服刑期间，能服从法院判决，认罪悔罪。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二、遵守法律法规及监规方面：罪犯黄超在服刑期间，认真遵守法律法规及监规纪律，服从管教。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五、履行财产性判项方面：罚金3000元，上次减刑已履行完毕。月均消费368.63元，狱内账户余额2933.32元。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超提请减去有期徒刑七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98E5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2025-05-12T07:17:43Z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