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罪犯刘前钱，男，仡佬族，初中文化，贵州省务川仡佬族苗族自治县人，现在贵州省遵义监狱服刑。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2014年4月17日，贵州省遵义市中级人民法院作出（2014）遵市法刑一初字第29号刑事附带民事判决，认定刘前钱犯故意伤害罪，判处无期徒刑，剥夺政治权利终身，赔偿附带民事诉讼原告人经济损失5万元。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判决发生法律效力后于2014年6月16日交付贵州省遵义监狱执行。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10月10日经贵州省高级人民法院裁定减为有期徒刑二十一年零六个月，剥夺政治权利改为八年；2019年5月30日经贵州省遵义市中级人民法院裁定减去有期徒刑八个月，剥夺政治权利八年；2022年6月29日经贵州省遵义市中级人民法院裁定减去有期徒刑六个月，剥夺政治权利八年。（现刑期自2016年10月10日起至2037年2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一、认罪悔罪方面：罪犯刘前钱在服刑期间，能服从法院判决，认罪悔罪。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二、遵守法律法规及监规方面：罪犯刘前钱在服刑期间，认真遵守法律法规及监规纪律，服从管教。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五、履行财产性判项方面：赔偿附带民事诉讼原告人经济损失5万元，本次已履行完毕。月均消费169.93元，狱内账户余额1906.06元。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经审查，我院认为：罪犯刘前钱符合提请减刑条件。未发现提请减刑建议不当，同意将案件交监狱长办公会审核。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综上所述，罪犯刘前钱自上次裁定减刑以来，能认真遵守监规，接受教育改造，确有悔改表现。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前钱提请减去有期徒刑八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C55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2025-05-12T07:17:52Z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