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41" w:firstLine="0"/>
        <w:jc w:val="center"/>
        <w:rPr>
          <w:rFonts w:ascii="仿宋" w:hAnsi="仿宋" w:eastAsia="仿宋"/>
          <w:b/>
          <w:bCs/>
          <w:sz w:val="44"/>
          <w:szCs w:val="44"/>
        </w:rPr>
      </w:pPr>
      <w:r>
        <w:rPr>
          <w:rFonts w:ascii="仿宋" w:hAnsi="仿宋" w:eastAsia="仿宋"/>
          <w:b/>
          <w:bCs/>
          <w:sz w:val="44"/>
          <w:szCs w:val="44"/>
        </w:rPr>
        <w:t>提请假释建议书</w:t>
      </w:r>
    </w:p>
    <w:p>
      <w:pPr>
        <w:jc w:val="right"/>
        <w:rPr>
          <w:rFonts w:ascii="楷体" w:hAnsi="楷体" w:eastAsia="楷体"/>
          <w:sz w:val="32"/>
          <w:szCs w:val="32"/>
        </w:rPr>
      </w:pPr>
      <w:r>
        <w:rPr>
          <w:rFonts w:ascii="楷体" w:hAnsi="楷体" w:eastAsia="楷体"/>
          <w:sz w:val="32"/>
          <w:szCs w:val="32"/>
        </w:rPr>
        <w:t>(2025)遵监提请假字第4号</w:t>
      </w:r>
    </w:p>
    <w:p>
      <w:pPr>
        <w:snapToGrid w:val="0"/>
        <w:spacing w:line="480" w:lineRule="exact"/>
        <w:ind w:firstLine="640"/>
        <w:jc w:val="left"/>
        <w:rPr>
          <w:rFonts w:ascii="仿宋" w:hAnsi="仿宋" w:eastAsia="仿宋"/>
          <w:sz w:val="32"/>
          <w:szCs w:val="32"/>
        </w:rPr>
      </w:pPr>
      <w:r>
        <w:rPr>
          <w:rFonts w:ascii="仿宋" w:hAnsi="仿宋" w:eastAsia="仿宋"/>
          <w:sz w:val="32"/>
          <w:szCs w:val="32"/>
        </w:rPr>
        <w:t>罪犯宪思豪，男，汉族，初中文化</w:t>
      </w:r>
      <w:r>
        <w:rPr>
          <w:rFonts w:hint="eastAsia" w:ascii="仿宋" w:hAnsi="仿宋" w:eastAsia="仿宋"/>
          <w:sz w:val="32"/>
          <w:szCs w:val="32"/>
          <w:lang w:eastAsia="zh-CN"/>
        </w:rPr>
        <w:t>，</w:t>
      </w:r>
      <w:bookmarkStart w:id="0" w:name="_GoBack"/>
      <w:bookmarkEnd w:id="0"/>
      <w:r>
        <w:rPr>
          <w:rFonts w:ascii="仿宋" w:hAnsi="仿宋" w:eastAsia="仿宋"/>
          <w:sz w:val="32"/>
          <w:szCs w:val="32"/>
        </w:rPr>
        <w:t>贵州省遵义市播州区人，现在贵州省遵义监狱服刑。</w:t>
      </w:r>
    </w:p>
    <w:p>
      <w:pPr>
        <w:snapToGrid w:val="0"/>
        <w:spacing w:line="480" w:lineRule="exact"/>
        <w:ind w:firstLine="640"/>
        <w:jc w:val="left"/>
        <w:rPr>
          <w:rFonts w:ascii="仿宋" w:hAnsi="仿宋" w:eastAsia="仿宋"/>
          <w:sz w:val="32"/>
          <w:szCs w:val="32"/>
        </w:rPr>
      </w:pPr>
      <w:r>
        <w:rPr>
          <w:rFonts w:ascii="仿宋" w:hAnsi="仿宋" w:eastAsia="仿宋"/>
          <w:sz w:val="32"/>
          <w:szCs w:val="32"/>
        </w:rPr>
        <w:t>2019年11月14日，贵州省正安县人民法院作出（2019）黔0324刑初字第104号刑事判决，认定宪思豪犯贩卖毒品罪，判处有期徒刑八年（刑期自2018年11月12日起至2026年11月11日止），罚金人民币30000.00元。2020年6月29日，贵州省遵义市中级人民法院作出（2020）黔03刑终字第1号刑事裁定，驳回上诉，维持原判。2022年4月13日，贵州省遵义市播州区人民法院作出（2022）黔0304刑初16号刑事裁定，认定宪思豪犯开设赌场罪,判处有期徒刑十一个月，并处罚金5000元，与原判合并执行，决定执行有期徒刑八年七个月（刑期自2018年11月12日起至2027年6月11日止），罚金人民币35000.00元，追缴违法所得人民币5000.00元。</w:t>
      </w:r>
    </w:p>
    <w:p>
      <w:pPr>
        <w:snapToGrid w:val="0"/>
        <w:spacing w:line="480" w:lineRule="exact"/>
        <w:ind w:firstLine="640"/>
        <w:jc w:val="left"/>
        <w:rPr>
          <w:rFonts w:ascii="仿宋" w:hAnsi="仿宋" w:eastAsia="仿宋"/>
          <w:sz w:val="32"/>
          <w:szCs w:val="32"/>
        </w:rPr>
      </w:pPr>
      <w:r>
        <w:rPr>
          <w:rFonts w:ascii="仿宋" w:hAnsi="仿宋" w:eastAsia="仿宋"/>
          <w:sz w:val="32"/>
          <w:szCs w:val="32"/>
        </w:rPr>
        <w:t>判决发生法律效力后2020年7月14日交付执行，2020年8月17日从忠庄监狱调入贵州省遵义监狱服刑。</w:t>
      </w:r>
    </w:p>
    <w:p>
      <w:pPr>
        <w:snapToGrid w:val="0"/>
        <w:spacing w:line="480" w:lineRule="exact"/>
        <w:ind w:firstLine="640"/>
        <w:jc w:val="left"/>
        <w:rPr>
          <w:rFonts w:ascii="仿宋" w:hAnsi="仿宋" w:eastAsia="仿宋"/>
          <w:sz w:val="32"/>
          <w:szCs w:val="32"/>
        </w:rPr>
      </w:pPr>
      <w:r>
        <w:rPr>
          <w:rFonts w:ascii="仿宋" w:hAnsi="仿宋" w:eastAsia="仿宋"/>
          <w:sz w:val="32"/>
          <w:szCs w:val="32"/>
        </w:rPr>
        <w:t>服刑期间执行刑期变动情况：2022年4月13日经贵州省遵义市播州区人民法院判决因开设赌场罪余罪加刑有期徒刑七个月，与原判合并执行有期徒刑八年七个月，并处罚金人民币35000.00元，追缴违法所得5000.00元。刑期2018年11月12日至2027年6月11日。</w:t>
      </w:r>
    </w:p>
    <w:p>
      <w:pPr>
        <w:snapToGrid w:val="0"/>
        <w:spacing w:line="480" w:lineRule="exact"/>
        <w:ind w:firstLine="640"/>
        <w:jc w:val="left"/>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jc w:val="left"/>
        <w:rPr>
          <w:rFonts w:ascii="仿宋" w:hAnsi="仿宋" w:eastAsia="仿宋"/>
          <w:sz w:val="32"/>
          <w:szCs w:val="32"/>
        </w:rPr>
      </w:pPr>
      <w:r>
        <w:rPr>
          <w:rFonts w:ascii="仿宋" w:hAnsi="仿宋" w:eastAsia="仿宋"/>
          <w:sz w:val="32"/>
          <w:szCs w:val="32"/>
        </w:rPr>
        <w:t>一、认罪悔罪方面：罪犯宪思豪在服刑期间，能服从法院判决，认罪悔罪。</w:t>
      </w:r>
    </w:p>
    <w:p>
      <w:pPr>
        <w:snapToGrid w:val="0"/>
        <w:spacing w:line="480" w:lineRule="exact"/>
        <w:ind w:firstLine="640"/>
        <w:jc w:val="left"/>
        <w:rPr>
          <w:rFonts w:ascii="仿宋" w:hAnsi="仿宋" w:eastAsia="仿宋"/>
          <w:sz w:val="32"/>
          <w:szCs w:val="32"/>
        </w:rPr>
      </w:pPr>
      <w:r>
        <w:rPr>
          <w:rFonts w:ascii="仿宋" w:hAnsi="仿宋" w:eastAsia="仿宋"/>
          <w:sz w:val="32"/>
          <w:szCs w:val="32"/>
        </w:rPr>
        <w:t>二、遵守法律法规及监规方面：罪犯宪思豪在服刑期间，认真遵守法律法规及监规纪律，严格按照服刑人员行为规范要求自己，服从管教。</w:t>
      </w:r>
    </w:p>
    <w:p>
      <w:pPr>
        <w:snapToGrid w:val="0"/>
        <w:spacing w:line="480" w:lineRule="exact"/>
        <w:ind w:firstLine="640"/>
        <w:jc w:val="left"/>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jc w:val="left"/>
        <w:rPr>
          <w:rFonts w:ascii="仿宋" w:hAnsi="仿宋" w:eastAsia="仿宋"/>
          <w:sz w:val="32"/>
          <w:szCs w:val="32"/>
        </w:rPr>
      </w:pPr>
      <w:r>
        <w:rPr>
          <w:rFonts w:ascii="仿宋" w:hAnsi="仿宋" w:eastAsia="仿宋"/>
          <w:sz w:val="32"/>
          <w:szCs w:val="32"/>
        </w:rPr>
        <w:t>四、劳动改造方面:能积极参加劳动，自觉遵守操作规程，按时完成劳动任务，表现好。</w:t>
      </w:r>
    </w:p>
    <w:p>
      <w:pPr>
        <w:snapToGrid w:val="0"/>
        <w:spacing w:line="480" w:lineRule="exact"/>
        <w:ind w:firstLine="640"/>
        <w:jc w:val="left"/>
        <w:rPr>
          <w:rFonts w:ascii="仿宋" w:hAnsi="仿宋" w:eastAsia="仿宋"/>
          <w:sz w:val="32"/>
          <w:szCs w:val="32"/>
        </w:rPr>
      </w:pPr>
      <w:r>
        <w:rPr>
          <w:rFonts w:ascii="仿宋" w:hAnsi="仿宋" w:eastAsia="仿宋"/>
          <w:sz w:val="32"/>
          <w:szCs w:val="32"/>
        </w:rPr>
        <w:t>五、履行财产性判项方面：罚金人民币35000元(已全部缴纳)；追缴违法所得人民币5000元(已全部缴纳)。</w:t>
      </w:r>
    </w:p>
    <w:p>
      <w:pPr>
        <w:snapToGrid w:val="0"/>
        <w:spacing w:line="480" w:lineRule="exact"/>
        <w:ind w:firstLine="640"/>
        <w:jc w:val="left"/>
        <w:rPr>
          <w:rFonts w:ascii="仿宋" w:hAnsi="仿宋" w:eastAsia="仿宋"/>
          <w:sz w:val="32"/>
          <w:szCs w:val="32"/>
        </w:rPr>
      </w:pPr>
      <w:r>
        <w:rPr>
          <w:rFonts w:ascii="仿宋" w:hAnsi="仿宋" w:eastAsia="仿宋"/>
          <w:sz w:val="32"/>
          <w:szCs w:val="32"/>
        </w:rPr>
        <w:t>六、考核奖励情况：2022年11月至2023年3月获1个表扬；2023年4月至2023年8月获1个表扬；2023年9月至2024年2月获1个表扬；2024年3月至2024年7月获1个表扬；获得共4个表扬。</w:t>
      </w:r>
    </w:p>
    <w:p>
      <w:pPr>
        <w:snapToGrid w:val="0"/>
        <w:spacing w:line="480" w:lineRule="exact"/>
        <w:ind w:firstLine="640"/>
        <w:jc w:val="left"/>
        <w:rPr>
          <w:rFonts w:ascii="仿宋" w:hAnsi="仿宋" w:eastAsia="仿宋"/>
          <w:sz w:val="32"/>
          <w:szCs w:val="32"/>
        </w:rPr>
      </w:pPr>
      <w:r>
        <w:rPr>
          <w:rFonts w:ascii="仿宋" w:hAnsi="仿宋" w:eastAsia="仿宋"/>
          <w:sz w:val="32"/>
          <w:szCs w:val="32"/>
        </w:rPr>
        <w:t>检察机关审查意见:同意假释。</w:t>
      </w:r>
    </w:p>
    <w:p>
      <w:pPr>
        <w:snapToGrid w:val="0"/>
        <w:spacing w:line="480" w:lineRule="exact"/>
        <w:ind w:firstLine="640"/>
        <w:jc w:val="left"/>
        <w:rPr>
          <w:rFonts w:ascii="仿宋" w:hAnsi="仿宋" w:eastAsia="仿宋"/>
          <w:sz w:val="32"/>
          <w:szCs w:val="32"/>
        </w:rPr>
      </w:pPr>
      <w:r>
        <w:rPr>
          <w:rFonts w:ascii="仿宋" w:hAnsi="仿宋" w:eastAsia="仿宋"/>
          <w:sz w:val="32"/>
          <w:szCs w:val="32"/>
        </w:rPr>
        <w:t>综上所述，罪犯宪思豪在服刑改造期间，能认真遵守监规，接受教育改造，确有悔改表现。社区矫正机关同意适用社区矫正，监狱经综合评估预测该犯没有再犯罪危险。</w:t>
      </w:r>
    </w:p>
    <w:p>
      <w:pPr>
        <w:snapToGrid w:val="0"/>
        <w:spacing w:line="480" w:lineRule="exact"/>
        <w:ind w:firstLine="640"/>
        <w:jc w:val="left"/>
        <w:rPr>
          <w:rFonts w:ascii="仿宋" w:hAnsi="仿宋" w:eastAsia="仿宋"/>
          <w:sz w:val="32"/>
          <w:szCs w:val="32"/>
        </w:rPr>
      </w:pPr>
      <w:r>
        <w:rPr>
          <w:rFonts w:ascii="仿宋" w:hAnsi="仿宋" w:eastAsia="仿宋"/>
          <w:sz w:val="32"/>
          <w:szCs w:val="32"/>
        </w:rPr>
        <w:t>为此， 根据《中华人民共和国刑法》第八十一条、第八十二条、第八十三条，《中华人民共和国刑事诉讼法》 第二百七十三条第二款和《中华人民共和国监狱法》第三十二条之规定，建议对罪犯宪思豪提请假释。特提请裁定。</w:t>
      </w:r>
    </w:p>
    <w:p>
      <w:pPr>
        <w:pStyle w:val="3"/>
        <w:snapToGrid w:val="0"/>
        <w:spacing w:line="480" w:lineRule="exact"/>
        <w:ind w:firstLine="640"/>
        <w:rPr>
          <w:sz w:val="32"/>
          <w:szCs w:val="32"/>
        </w:rPr>
      </w:pPr>
      <w:r>
        <w:rPr>
          <w:sz w:val="32"/>
          <w:szCs w:val="32"/>
        </w:rPr>
        <w:t>此致</w:t>
      </w:r>
    </w:p>
    <w:p>
      <w:pPr>
        <w:pStyle w:val="3"/>
        <w:snapToGrid w:val="0"/>
        <w:spacing w:line="480" w:lineRule="exact"/>
        <w:rPr>
          <w:sz w:val="32"/>
          <w:szCs w:val="32"/>
        </w:rPr>
      </w:pPr>
      <w:r>
        <w:rPr>
          <w:sz w:val="32"/>
          <w:szCs w:val="32"/>
        </w:rPr>
        <w:t>遵义市中级人民法院</w:t>
      </w:r>
    </w:p>
    <w:p/>
    <w:p/>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ind w:firstLine="5440"/>
      </w:pPr>
      <w:r>
        <w:rPr>
          <w:rFonts w:ascii="仿宋_GB2312" w:hAnsi="仿宋_GB2312" w:eastAsia="仿宋_GB2312"/>
          <w:sz w:val="32"/>
          <w:szCs w:val="32"/>
        </w:rPr>
        <w:t>2025年5月7日</w:t>
      </w:r>
    </w:p>
    <w:p/>
    <w:sectPr>
      <w:pgSz w:w="11906" w:h="16838"/>
      <w:pgMar w:top="1440" w:right="1800" w:bottom="1440" w:left="1800" w:header="0" w:footer="0" w:gutter="0"/>
      <w:pgNumType w:fmt="decimal"/>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C51E4B"/>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Lohit Devanagari"/>
      <w:i/>
      <w:iCs/>
      <w:sz w:val="24"/>
      <w:szCs w:val="24"/>
    </w:rPr>
  </w:style>
  <w:style w:type="paragraph" w:styleId="3">
    <w:name w:val="Salutation"/>
    <w:basedOn w:val="1"/>
    <w:next w:val="1"/>
    <w:unhideWhenUsed/>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uiPriority w:val="0"/>
    <w:pPr>
      <w:spacing w:before="0" w:after="140" w:line="288" w:lineRule="auto"/>
    </w:p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header"/>
    <w:basedOn w:val="1"/>
    <w:unhideWhenUsed/>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uiPriority w:val="0"/>
    <w:rPr>
      <w:rFonts w:cs="Lohit Devanagar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Words>
  <Characters>183</Characters>
  <Paragraphs>1</Paragraphs>
  <TotalTime>30</TotalTime>
  <ScaleCrop>false</ScaleCrop>
  <LinksUpToDate>false</LinksUpToDate>
  <CharactersWithSpaces>213</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2025-05-12T06:51:10Z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2052-11.1.0.10314</vt:lpwstr>
  </property>
</Properties>
</file>