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(2025)遵监提请减字第320号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罪犯成昆，男，汉族，初中文化，云南省镇雄县人，现在贵州省遵义监狱服刑。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2019年4月19日，贵州省金沙县人民法院作出（2019）黔0523刑初62号刑事判决，认定成昆犯运输毒品罪，判处有期徒刑十五年，剥夺政治权利三年，并处没收个人财产人民币40000元（判决前已没收6000元）。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判决发生法律效力后于2019年5月17日交付贵州省遵义监狱执行。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服刑期间执行刑期变动情况：2022年12月14日经贵州省遵义市中级人民法院裁定减去有期徒刑七个月，剥夺政治权利三年及并处没收财产40000元（已执行6000元）不变。（现刑期自2018年12月20日起至2033年5月19日止）。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一、认罪悔罪方面：罪犯成昆自上次减刑以来，能服从法院判决，认罪悔罪。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二、遵守法律法规及监规方面：罪犯成昆自上次减刑以来，认真遵守法律法规及监规纪律，服从管教。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三、教育改造方面：罪犯成昆自上次减刑以来，能接受教育改造，积极参加思想、文化、职业技术教育，“三课”学习成绩合格。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四、劳动改造方面：罪犯成昆自上次减刑以来，能积极参加劳动，按时完成劳动任务，劳动态度端正。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40000元(判决期间已没收6000元，本次未履行)。消费总额：11832.77元，月均消费281.73元，狱内账户余额1138.17元（含刑释就业金1060元，财产性判项为没收个人财产类，刑释就业金可不计入卡余，扣除后卡余为78.17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6月获1个表扬；2022年7月至2022年12月获表扬和物质奖励1次；2023年1月至2023年6月获1个表扬；2023年7月至2023年12月获1个表扬；2024年1月至2024年6月获1个表扬；2024年7月至2024年12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经审查，我院认为：罪犯成昆符合提请减刑条件。未发现提请减刑建议不当，同意将案件交监狱长办公会审核。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综上所述，罪犯成昆自上次裁定减刑以来，能认真遵守监规，接受教育改造，确有悔改表现。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成昆提请减去有期徒刑七个月，剥夺政治权利三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332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2025-07-01T05:33:34Z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