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(2025)遵监提请减字第353号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罪犯付茂君，男，汉族，初中文化，贵州省修文县人，现在贵州省遵义监狱服刑。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9月6日，贵州省贵阳市中级人民法院作出（2021）黔01刑初48号刑事附带民事判决，认定罪犯付茂君犯故意伤害罪，判处有期徒刑十年，附带民事赔偿人民币十万元。该犯不服，提出上诉。2021年11月24日，贵州省高级人民法院作出（2021）黔刑终317号刑事附带民事裁定，驳回上诉，维持原判。原判刑期自2020年3月11日起至2030年3月10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判决发生法律效力后2022年4月21日交付金西监狱执行，2022年5月30日从贵州省金西监狱调入贵州省遵义监狱服刑。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一、认罪悔罪方面：罪犯付茂君在服刑期间，能服从法院判决，认罪悔罪。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二、遵守法律法规及监规方面：罪犯付茂君在服刑期间，认真遵守法律法规及监规纪律，严格按照服刑人员行为规范要求自己，服从管教。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四、劳动改造方面：能积极参加劳动，自觉遵守操作规程，按时完成劳动任务，表现好。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五、履行财产性判项方面：民事赔偿人民币十万元(未履行)；狱内月均消费130.97元，狱内账户余额1669.33元。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4月至2022年12月获1个表扬；2023年1月至2023年6月获表扬和物质奖励1次；2023年7月至2023年11月获表扬和物质奖励1次；2023年12月至2024年5月获1个表扬；2024年6月至2024年10月获1个表扬；获得共5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经审查，我院认为：罪犯付茂君符合提请减刑条件。未发现提请减刑建议不当，同意将案件交监狱长办公会审核。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综上所述，罪犯付茂君在服刑改造期间，能认真遵守监规，接受教育改造，确有悔改表现。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付茂君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635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2025-07-01T05:38:19Z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