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罪犯彭光举，男，汉族，初中文化，贵州省正安县人，现在贵州省遵义监狱服刑。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5月6日，贵州省正安县人民法院作出（2015）正刑初字第47号刑事判决，认定罪犯彭光举犯贩卖毒品罪，判处有期徒刑十五年，剥夺政治权利五年，没收个人财产人民币50000元。原判刑期自2014年11月17日起至2029年11月16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判决发生法律效力后于2015年5月18日交付贵州省遵义监狱执行。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六个月，剥夺政治权利五年不变；2020年7月20日经贵州省遵义市中级人民法院裁定减去有期徒刑七个月，剥夺政治权利五年不变；2023年4月23日经贵州省遵义市中级人民法院裁定减去有期徒刑五个月，剥夺政治权利五年不变。（现刑期自2014年11月17日起至2028年5月16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一、认罪悔罪方面：罪犯彭光举在服刑期间，能服从法院判决，认罪悔罪。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二、遵守法律法规及监规方面：罪犯彭光举在服刑期间，认真遵守法律法规及监规纪律，服从管教。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执行500元，2023年9月13日贵州省正安县人民法院作出（2023）黔0324执1902号执行裁定书，终结本案的执行。）；狱内月均消费：263.18元，狱内账户余额：359.37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11月获1个表扬；2021年12月至2022年5月获1个表扬；2022年6月至2022年10月获1个表扬；2022年11月至2023年4月获1个表扬；2023年5月至2023年9月获1个表扬；2023年10月至2024年2月获1个表扬；2024年3月至2024年8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经审查，我院认为：罪犯彭光举符合提请减刑条件。未发现提请减刑建议不当，同意将案件交监狱长办公会审核。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综上所述，罪犯彭光举自上次裁定减刑以来，能认真遵守监规，接受教育改造，确有悔改表现。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彭光举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7E5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2025-07-01T05:39:19Z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