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罪犯李斌，男，汉族，初中文化，贵州省六盘水市钟山区人，现在贵州省遵义监狱服刑。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2014年3月7日，贵州省毕节市中级人民法院作出（2014）黔毕中刑初字第3号刑事判决，认定李斌犯贩卖毒品罪，判处无期徒刑，剥夺政治权利终身，并处没收个人财产人民币50000.00元。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六个月，剥夺政治权利改为八年；2019年3月27日经贵州省遵义市中级人民法院裁定减去有期徒刑七个月，剥夺政治权利八年不变；2022年6月29日经贵州省遵义市中级人民法院裁定减去有期徒刑六个月，剥夺政治权利八年不变。（现刑期自2016年9月9日起至2037年2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四、劳动改造方面：本考核期内，2023年03月未完成劳动定额扣4.16分。其余时间均能积极参加劳动，按时完成劳动任务，有多次超产加分，表现较好。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五、履行财产性判项方面：没收个人财产人民币50000元，已全部履行。月均消费：349.39元，余额：8485.58元。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1个表扬；2021年12月至2022年5月获1个表扬；2022年6月至2022年11月获1个表扬；2022年12月至2023年5月获物质奖励1次；2023年6月至2023年11月获1个表扬；2023年12月至2024年5月获1个表扬；2024年6月至2024年11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扣分及违规情况：该犯2023年03月未完成劳动定额扣分4.16分。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经审查，我院认为：罪犯李斌符合提请减刑条件。未发现提请减刑建议不当，同意将案件交监狱长办公会审核。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斌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811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