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(2025)遵监提请减字第373号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罪犯梁隆力，男，汉族，初中文化，贵州省桐梓县人，现在贵州省遵义监狱服刑。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29日，贵州省桐梓县人民法院作出（2021）黔0322刑初字第230号刑事附带民事判决，认定罪犯梁隆力犯故意杀人罪，判处有期徒刑十四年，附带民事赔偿人民币一万五千三百五十六元。原判刑期自2021年5月16日起至2035年5月15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判决发生法律效力后2022年2月17日交付贵州省忠庄监狱执行，2022年4月9日从贵州书忠庄监狱调入贵州省遵义监狱服刑。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一、认罪悔罪方面：罪犯梁隆力在服刑期间，能服从法院判决，认罪悔罪。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二、遵守法律法规及监规方面：罪犯梁隆力在服刑期间，认真遵守法律法规及监规纪律，服从管教。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五、履行财产性判项方面：民事赔偿人民币15356元(已全部履行)；狱内月均消费：244.06元，狱内账户余额：694.25元。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六、考核奖励情况：2022年2月至2022年10月获1个表扬；2022年11月至2023年4月获1个表扬；2023年5月至2023年10月获1个表扬；2023年11月至2024年4月获1个表扬；2024年5月至2024年10月获1个表扬；获得共5个表扬。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从严情形：因犯故意杀人罪被判处有期徒刑十四年。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经审查，我院认为：罪犯梁隆力符合提请减刑条件。未发现提请减刑建议不当，同意将案件交监狱长办公会审核。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综上所述，罪犯梁隆力在服刑改造期间，能认真遵守监规，接受教育改造，确有悔改表现。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梁隆力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8A0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2025-07-01T05:40:58Z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