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罪犯马敬松，男，汉族，小学文化，贵州省德江县人，现在贵州省遵义监狱服刑。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10月12日，贵州省铜仁市中级人民法院作出（2015）铜中刑初字第71号，撤销浙江省玉环县人民法院（2013）台玉刑初字第1021号刑事判决中对被告人马敬松犯盗窃罪判处拘役六个月，缓刑一年的缓刑部分。认定罪犯马敬松犯故意杀人罪，判处死刑，缓期二年执行，剥夺政治权利终身；犯盗窃罪，判处拘役六个月。决定执行死刑，缓期二年执行，剥夺政治权利终身。该犯不服，提出上诉。2015年12月11日，贵州省高级人民法院作出（2015）黔高刑一终字第338号刑事附带民事裁定，驳回上诉，维持原判，并核准死刑，缓期二年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判决发生法律效力后于2016年2月16日交付贵州省遵义监狱执行。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7月6日经贵州省高级人民法院裁定减为无期徒刑，剥夺政治权利终身；2022年6月30日经贵州省高级人民法院裁定减为有期徒刑二十五年，剥夺政治权利十年。（现刑期自2022年6月30日起至2047年6月29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一、认罪悔罪方面：罪犯马敬松自上次裁定减刑以来，能服从法院判决，认罪悔罪。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二、遵守法律法规及监规方面：罪犯马敬松自上次裁定减刑以来，除2023年9月因携带违规品扣30分；2023年9月因故意藏匿、丢弃、污损原材料和产品扣8分外，其余时间能认真遵守法律法规及监规纪律，服从管教。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三、教育改造方面：罪犯马敬松自上次裁定减刑以来，能接受教育改造，积极参加思想、文化、职业技术教育，“三课”学习成绩合格。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四、劳动改造方面：罪犯马敬松自上次裁定减刑以来，能积极参加劳动，按时完成劳动任务。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41407.5元，未履行；2016年12月12日铜仁市中级人民法院出具执行裁定载明：被执行人马敬松正在服刑，无可供执行财产，鉴于申请执行人生活困难，给申请执行人发放救助金人民币4000元，终结本次执行程序。月均消费：143.63元；狱内月均消费：2327.58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4月至2021年9月获1个表扬；2021年10月至2022年2月获1个表扬；2022年3月至2022年8月获1个表扬；2022年9月至2023年2月获1个表扬；2023年3月至2023年8月获1个表扬；2023年9月至2024年3月获物质奖励1次；2024年4月至2024年8月获1个表扬；2024年9月至2025年2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违规及扣分情况：2023年9月因携带违规品扣30分；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2023年9月因故意藏匿、丢弃、污损原材料和产品扣8分。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从严情形：故意杀人犯、数罪并罚、财产性判项未履行。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经审查，我院认为，罪犯马敬松符合提请减刑条件。未发现提请减刑建议不当，同意将案件交监狱长办公会审核。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综上所述，罪犯马敬松自上次裁定减刑以来，能认真遵守监规，接受教育改造，确有悔改表现。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马敬松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F77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