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贵州省遵义监狱</w:t>
      </w:r>
    </w:p>
    <w:p>
      <w:pPr>
        <w:snapToGrid w:val="0"/>
        <w:spacing w:line="560" w:lineRule="exact"/>
        <w:jc w:val="center"/>
        <w:rPr>
          <w:rFonts w:ascii="方正小标宋简体" w:hAnsi="方正小标宋简体" w:eastAsia="方正小标宋简体"/>
          <w:spacing w:val="20"/>
          <w:sz w:val="44"/>
          <w:szCs w:val="44"/>
        </w:rPr>
      </w:pPr>
      <w:r>
        <w:rPr>
          <w:rFonts w:ascii="方正小标宋简体" w:hAnsi="方正小标宋简体" w:eastAsia="方正小标宋简体"/>
          <w:spacing w:val="20"/>
          <w:sz w:val="44"/>
          <w:szCs w:val="44"/>
        </w:rPr>
        <w:t>提请减刑建议书</w:t>
      </w:r>
    </w:p>
    <w:p>
      <w:pPr>
        <w:spacing w:line="320" w:lineRule="exact"/>
        <w:jc w:val="right"/>
        <w:rPr>
          <w:rFonts w:ascii="仿宋_GB2312" w:hAnsi="仿宋_GB2312" w:eastAsia="仿宋_GB2312"/>
          <w:sz w:val="32"/>
          <w:szCs w:val="32"/>
        </w:rPr>
      </w:pPr>
    </w:p>
    <w:p>
      <w:pPr>
        <w:spacing w:line="320" w:lineRule="exact"/>
        <w:jc w:val="right"/>
        <w:rPr>
          <w:rFonts w:ascii="仿宋_GB2312" w:hAnsi="仿宋_GB2312" w:eastAsia="仿宋_GB2312"/>
          <w:sz w:val="32"/>
          <w:szCs w:val="32"/>
        </w:rPr>
      </w:pPr>
      <w:r>
        <w:rPr>
          <w:rFonts w:ascii="仿宋_GB2312" w:hAnsi="仿宋_GB2312" w:eastAsia="仿宋_GB2312"/>
          <w:sz w:val="32"/>
          <w:szCs w:val="32"/>
        </w:rPr>
        <w:t>(2026)遵监提请减字第37号</w:t>
      </w:r>
    </w:p>
    <w:p>
      <w:pPr>
        <w:spacing w:line="320" w:lineRule="exact"/>
        <w:jc w:val="right"/>
        <w:rPr>
          <w:rFonts w:ascii="仿宋_GB2312" w:hAnsi="仿宋_GB2312" w:eastAsia="仿宋_GB2312"/>
          <w:sz w:val="32"/>
          <w:szCs w:val="32"/>
        </w:rPr>
      </w:pP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罪犯毛武友，男，布依族，初中文化，贵州省黔西市人，现在贵州省遵义监狱服刑。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2018年10月18日，贵州省湄潭县人民法院作出（2018）黔0328刑初98号刑事判决，认定毛武友犯强奸罪,抢劫罪，判处有期徒刑十三年（刑期自2017年12月9日起至2030年12月8日止），罚金人民币2000.00元。该犯不服，提出上诉。2018年12月10日，贵州省遵义市中级人民法院作出（2018）黔03刑终字第747号刑事裁定，驳回上诉，维持原判。</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判决发生法律效力后2019年1月10日交付执行，2019年4月10日从贵州省忠庄监狱调入贵州省遵义监狱服刑。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服刑期间执行刑期变动情况：2022年6月1日经贵州省遵义市中级人民法院裁定减去有期徒刑六个月。（现刑期自2017年12月9日起至2030年6月8日止）。</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该犯自上次裁定减刑以来，确有悔改表现，具体事实如下：</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一、认罪悔罪方面：罪犯毛武友在服刑期间，能服从法院判决，认罪悔罪。</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二、遵守法律法规及监规方面：罪犯毛武友在服刑期间，2021年5月28日在2021年1月4日固定联号成员高洪伟脱逃（未遂）案件中，作为固定联号成员未及时报告。扣分10.00分；2023年1月8日经调查罪犯毛武友2023年1月8日2点39分左右起床上厕所冲水声音太大被生活组长李其波出言制止后引起该犯不满，上床躺至4点23分左右突然下床到李其波床前进行争执并出手殴打李其波，并在值星员及小组其他成员制止后仍要动手殴打李其波。鉴于该犯在生活组长指出问题后不但不悔改反而认为组长是故意针对自己，从而产生报复他犯的想法并实施其行为，在二监区一分监区生活六组殴打他犯，情节较重。根据《监狱法》第五十八条第四款之规定，建议予以罪犯毛武友警告处罚扣分100.00分；被警告1次行政处罚。后经民警教育后，能认识到自己的错误，服从管教，改造态度端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三、教育改造方面：能接受教育改造，积极参加思想、文化、职业技术教育，“三课”学习成绩合格。</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四、劳动改造方面：2021年7月因生产欠产被扣1.37分。经民警教育后能积极参加生产劳动，遵守操作规程，自觉学习操作技能，努力完成生产任务，劳动态度端正。</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五、履行财产性判项方面：罚金2000元已履行，月均消费171.70元，狱内账户余额1364.31元。</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六、考核奖励情况：2021年1月至2021年6月获物质奖励1次不用于减刑；2021年7月至2021年11月获1个表扬不用于减刑；2021年12月至2022年5月获表扬和物质奖励1次不用于减刑；2022年6月至2022年10月获表扬和物质奖励1次不用于减刑；2022年11月至2023年6月不予奖励；2023年7月至2023年12月获1个表扬；2024年1月至2024年5月获1个表扬；2024年6月至2024年11月获1个表扬；2024年12月至2025年4月获1个表扬；共获得4个表扬、3个物质奖励、1个不予奖励、3个表扬不用于减刑。</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违规及扣分情况：2021年5月28日在2021年1月4日固定联号成员高洪伟脱逃（未遂）案件中，作为固定联号成员未及时报告。扣分10.00分；2021年7月31日该犯2021年07月劳动定额148，完成产值142.16，未完成劳动定额3.94%扣分1.37分；2023年1月8日经调查罪犯毛武友2023年1月8日2点39分左右起床上厕所冲水声音太大被生活组长李其波出言制止后引起该犯不满，上床躺至4点23分左右突然下床到李其波床前进行争执并出手殴打李其波，并在值星员及小组其他成员制止后仍要动手殴打李其波。鉴于该犯在生活组长指出问题后不但不悔改反而认为组长是故意针对自己，从而产生报复他犯的想法并实施其行为，在二监区一分监区生活六组殴打他犯，情节较重。根据《监狱法》第五十八条第四款之规定，建议予以罪犯毛武友警告处罚扣分100.00分；被警告1次行政处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从严情形：罪名从严。考核期内受行政处罚。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检察机关审查意见：</w:t>
      </w:r>
      <w:r>
        <w:rPr>
          <w:rFonts w:ascii="仿宋_GB2312" w:hAnsi="仿宋_GB2312" w:eastAsia="仿宋_GB2312"/>
          <w:sz w:val="32"/>
          <w:u w:val="none" w:color="FFFFFF"/>
        </w:rPr>
        <w:t>经审查，我院认为，罪犯毛武友符合提请减刑条件。未发现提请减刑建议不当，同意将案件交监狱长办公会审核。</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综上所述，罪犯毛武友自上次裁定减刑以来，能认真遵守监规，接受教育改造，确有悔改表现。</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为此，根据《中华人民共和国刑法》第七十八条第一款、第七十九条、《中华人民共和国刑事诉讼法》第二百七十三条、《中华人民共和国监狱法》第二十九条之规定，建议对罪犯毛武友提请减去有期徒刑六个月，特提请裁定。</w:t>
      </w:r>
    </w:p>
    <w:p>
      <w:pPr>
        <w:snapToGrid w:val="0"/>
        <w:spacing w:line="560" w:lineRule="exact"/>
        <w:ind w:firstLine="640"/>
        <w:rPr>
          <w:rFonts w:ascii="仿宋_GB2312" w:hAnsi="仿宋_GB2312" w:eastAsia="仿宋_GB2312"/>
          <w:sz w:val="32"/>
          <w:szCs w:val="32"/>
        </w:rPr>
      </w:pPr>
      <w:r>
        <w:rPr>
          <w:rFonts w:ascii="仿宋_GB2312" w:hAnsi="仿宋_GB2312" w:eastAsia="仿宋_GB2312"/>
          <w:sz w:val="32"/>
          <w:szCs w:val="32"/>
        </w:rPr>
        <w:t>此致</w:t>
      </w:r>
    </w:p>
    <w:p>
      <w:pPr>
        <w:snapToGrid w:val="0"/>
        <w:spacing w:line="560" w:lineRule="exact"/>
        <w:rPr>
          <w:rFonts w:ascii="仿宋_GB2312" w:hAnsi="仿宋_GB2312" w:eastAsia="仿宋_GB2312"/>
          <w:sz w:val="32"/>
          <w:szCs w:val="32"/>
        </w:rPr>
      </w:pPr>
      <w:bookmarkStart w:id="0" w:name="_GoBack"/>
      <w:bookmarkEnd w:id="0"/>
      <w:r>
        <w:rPr>
          <w:rFonts w:ascii="仿宋_GB2312" w:hAnsi="仿宋_GB2312" w:eastAsia="仿宋_GB2312"/>
          <w:sz w:val="32"/>
          <w:szCs w:val="32"/>
        </w:rPr>
        <w:t>遵义市中级人民法院</w:t>
      </w:r>
    </w:p>
    <w:p>
      <w:pPr>
        <w:snapToGrid w:val="0"/>
        <w:spacing w:line="560" w:lineRule="exact"/>
        <w:rPr>
          <w:rFonts w:ascii="仿宋" w:hAnsi="仿宋" w:eastAsia="仿宋"/>
          <w:sz w:val="32"/>
          <w:szCs w:val="32"/>
        </w:rPr>
      </w:pPr>
    </w:p>
    <w:p>
      <w:pPr>
        <w:spacing w:line="560" w:lineRule="exact"/>
        <w:jc w:val="center"/>
        <w:rPr>
          <w:rFonts w:ascii="仿宋_GB2312" w:hAnsi="仿宋_GB2312" w:eastAsia="仿宋_GB2312"/>
          <w:sz w:val="32"/>
          <w:szCs w:val="32"/>
        </w:rPr>
      </w:pPr>
      <w:r>
        <w:rPr>
          <w:rFonts w:ascii="仿宋_GB2312" w:hAnsi="仿宋_GB2312" w:eastAsia="仿宋_GB2312"/>
          <w:sz w:val="32"/>
          <w:szCs w:val="32"/>
        </w:rPr>
        <w:t xml:space="preserve">                               （公章）</w:t>
      </w:r>
    </w:p>
    <w:p>
      <w:pPr>
        <w:snapToGrid w:val="0"/>
        <w:spacing w:line="560" w:lineRule="exact"/>
        <w:ind w:firstLine="5760"/>
        <w:rPr>
          <w:rFonts w:ascii="仿宋" w:hAnsi="仿宋" w:eastAsia="仿宋"/>
          <w:sz w:val="32"/>
          <w:szCs w:val="32"/>
        </w:rPr>
      </w:pPr>
      <w:r>
        <w:rPr>
          <w:rFonts w:ascii="仿宋_GB2312" w:hAnsi="仿宋_GB2312" w:eastAsia="仿宋_GB2312"/>
          <w:sz w:val="32"/>
          <w:szCs w:val="32"/>
        </w:rPr>
        <w:t>2026年2月28日</w:t>
      </w:r>
    </w:p>
    <w:sectPr>
      <w:pgSz w:w="11906" w:h="16838"/>
      <w:pgMar w:top="2098" w:right="1474" w:bottom="1985" w:left="1588" w:header="0" w:footer="0" w:gutter="0"/>
      <w:paperSrc/>
      <w:pgNumType w:fmt="decimal"/>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 w:name="仿宋">
    <w:panose1 w:val="02010609060101010101"/>
    <w:charset w:val="86"/>
    <w:family w:val="roman"/>
    <w:pitch w:val="default"/>
    <w:sig w:usb0="800002BF" w:usb1="38CF7CFA" w:usb2="00000016" w:usb3="00000000" w:csb0="00040001" w:csb1="00000000"/>
  </w:font>
  <w:font w:name="DejaVu Sans">
    <w:altName w:val="Segoe Print"/>
    <w:panose1 w:val="00000000000000000000"/>
    <w:charset w:val="01"/>
    <w:family w:val="swiss"/>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enQuanYi Zen Hei">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autoHyphenation/>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7FE68B7"/>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WenQuanYi Zen Hei"/>
      <w:i/>
      <w:iCs/>
      <w:sz w:val="24"/>
      <w:szCs w:val="24"/>
    </w:rPr>
  </w:style>
  <w:style w:type="paragraph" w:styleId="3">
    <w:name w:val="Salutation"/>
    <w:basedOn w:val="1"/>
    <w:next w:val="1"/>
    <w:link w:val="14"/>
    <w:unhideWhenUsed/>
    <w:qFormat/>
    <w:uiPriority w:val="99"/>
    <w:rPr>
      <w:rFonts w:ascii="仿宋" w:hAnsi="仿宋" w:eastAsia="仿宋"/>
      <w:sz w:val="30"/>
      <w:szCs w:val="30"/>
    </w:rPr>
  </w:style>
  <w:style w:type="paragraph" w:styleId="4">
    <w:name w:val="Closing"/>
    <w:basedOn w:val="1"/>
    <w:link w:val="15"/>
    <w:unhideWhenUsed/>
    <w:qFormat/>
    <w:uiPriority w:val="99"/>
    <w:pPr>
      <w:ind w:left="100"/>
    </w:pPr>
    <w:rPr>
      <w:rFonts w:ascii="仿宋" w:hAnsi="仿宋" w:eastAsia="仿宋"/>
      <w:sz w:val="30"/>
      <w:szCs w:val="30"/>
    </w:rPr>
  </w:style>
  <w:style w:type="paragraph" w:styleId="5">
    <w:name w:val="Body Text"/>
    <w:basedOn w:val="1"/>
    <w:qFormat/>
    <w:uiPriority w:val="0"/>
    <w:pPr>
      <w:spacing w:before="0" w:after="140" w:line="276" w:lineRule="auto"/>
    </w:p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uiPriority w:val="99"/>
    <w:pPr>
      <w:pBdr>
        <w:bottom w:val="single" w:color="000000" w:sz="6" w:space="1"/>
      </w:pBdr>
      <w:tabs>
        <w:tab w:val="center" w:pos="4153"/>
        <w:tab w:val="right" w:pos="8306"/>
      </w:tabs>
      <w:snapToGrid w:val="0"/>
      <w:jc w:val="center"/>
    </w:pPr>
    <w:rPr>
      <w:sz w:val="18"/>
      <w:szCs w:val="18"/>
    </w:rPr>
  </w:style>
  <w:style w:type="paragraph" w:styleId="8">
    <w:name w:val="List"/>
    <w:basedOn w:val="5"/>
    <w:uiPriority w:val="0"/>
    <w:rPr>
      <w:rFonts w:cs="WenQuanYi Zen Hei"/>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sz w:val="18"/>
      <w:szCs w:val="18"/>
    </w:rPr>
  </w:style>
  <w:style w:type="character" w:customStyle="1" w:styleId="13">
    <w:name w:val="页脚 字符"/>
    <w:basedOn w:val="11"/>
    <w:link w:val="6"/>
    <w:qFormat/>
    <w:uiPriority w:val="99"/>
    <w:rPr>
      <w:sz w:val="18"/>
      <w:szCs w:val="18"/>
    </w:rPr>
  </w:style>
  <w:style w:type="character" w:customStyle="1" w:styleId="14">
    <w:name w:val="称呼 字符"/>
    <w:basedOn w:val="11"/>
    <w:link w:val="3"/>
    <w:qFormat/>
    <w:uiPriority w:val="99"/>
    <w:rPr>
      <w:rFonts w:ascii="仿宋" w:hAnsi="仿宋" w:eastAsia="仿宋"/>
      <w:sz w:val="30"/>
      <w:szCs w:val="30"/>
    </w:rPr>
  </w:style>
  <w:style w:type="character" w:customStyle="1" w:styleId="15">
    <w:name w:val="结束语 字符"/>
    <w:basedOn w:val="11"/>
    <w:link w:val="4"/>
    <w:qFormat/>
    <w:uiPriority w:val="99"/>
    <w:rPr>
      <w:rFonts w:ascii="仿宋" w:hAnsi="仿宋" w:eastAsia="仿宋"/>
      <w:sz w:val="30"/>
      <w:szCs w:val="30"/>
    </w:rPr>
  </w:style>
  <w:style w:type="paragraph" w:customStyle="1" w:styleId="16">
    <w:name w:val="Heading"/>
    <w:basedOn w:val="1"/>
    <w:next w:val="5"/>
    <w:qFormat/>
    <w:uiPriority w:val="0"/>
    <w:pPr>
      <w:keepNext/>
      <w:spacing w:before="240" w:after="120"/>
    </w:pPr>
    <w:rPr>
      <w:rFonts w:ascii="DejaVu Sans" w:hAnsi="DejaVu Sans" w:eastAsia="微软雅黑" w:cs="WenQuanYi Zen Hei"/>
      <w:sz w:val="28"/>
      <w:szCs w:val="28"/>
    </w:rPr>
  </w:style>
  <w:style w:type="paragraph" w:customStyle="1" w:styleId="17">
    <w:name w:val="Index"/>
    <w:basedOn w:val="1"/>
    <w:qFormat/>
    <w:uiPriority w:val="0"/>
    <w:pPr>
      <w:suppressLineNumbers/>
    </w:pPr>
    <w:rPr>
      <w:rFonts w:cs="WenQuanYi Zen Hei"/>
    </w:rPr>
  </w:style>
  <w:style w:type="paragraph" w:customStyle="1" w:styleId="18">
    <w:name w:val="Header and Footer"/>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majorFont>
      <a:minorFont>
        <a:latin typeface="等线"/>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Words>
  <Characters>201</Characters>
  <Paragraphs>1</Paragraphs>
  <TotalTime>97</TotalTime>
  <ScaleCrop>false</ScaleCrop>
  <LinksUpToDate>false</LinksUpToDate>
  <CharactersWithSpaces>235</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2022-10-06T01:49:00Z</dcterms:created>
  <dc:creator>曾 三</dc:creator>
  <cp:lastModifiedBy>Lenovo</cp:lastModifiedBy>
  <dcterms:modified xsi:type="dcterms:W3CDTF">2026-03-18T02:18:35Z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