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罪犯夏世玖，男，汉族，小学文化，重庆市璧山区人，现在贵州省遵义监狱服刑。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4月16日，贵州省遵义市中级人民法院作出（2018）黔03刑初18号刑事判决，认定夏世玖犯贩卖、运输毒品罪，判处有期徒刑十五年（刑期自2017年7月10日起至2032年7月9日止），剥夺政治权利五年，并处没收个人财产人民币50000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判决发生法律效力后于2018年5月11日交付贵州省遵义监狱执行。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2021年3月22日经贵州省遵义市中级人民法院裁定减去有期徒刑六个月，剥夺政治权利五年不变；2023年11月14日经贵州省遵义市中级人民法院裁定减去有期徒刑五个月，剥夺政治权利五年不变。（现刑期自2017年7月10日起至2031年8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一、认罪悔罪方面：罪犯夏世玖在服刑期间，能服从法院判决，认罪悔罪。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二、遵守法律法规及监规方面：罪犯夏世玖在服刑期间，认真遵守法律法规及监规纪律，服从管教。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五、履行财产性判项方面：没收个人财产人民币50000元(未执行)，2021年8月13日遵义市中级人民法院（2021）黔03执824号之一执行裁定书：终结罚金刑部分本次执行程序。狱内月均消费192.61元，狱内账户余额1427.03元。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11月获1个表扬；2022年12月至2023年5月获1个表扬；2023年6月至2023年11月获1个表扬；2023年12月至2024年5月获1个表扬；2024年6月至2024年11月获1个表扬；2024年12月至2025年5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经审查，我院认为，罪犯夏世玖符合提请减刑条件。未发现提请减刑建议不当，同意将案件交监狱长办公会审核。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综上所述，罪犯夏世玖自上次裁定减刑以来，能认真遵守监规，接受教育改造，确有悔改表现。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夏世玖提请减去有期徒刑六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3A51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