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(2026)遵监提请减字第69号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罪犯娄振兴，男，汉族，高中文化，贵州省遵义市人，现在贵州省遵义监狱服刑。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2010年8月6日，贵州省遵义市中级人民法院作出（2010）遵市法刑一初字第39号刑事附带民事判决，认定娄振兴犯故意伤害罪，判处死刑，剥夺政治权利终身，由被告人娄振兴赔偿民事诉讼原告人各项经济损失共计59768.02元。该犯不服，提出上诉。2011年11月7日，贵州省高级人民法院作出（2010）黔高刑一终字第227号刑事附带民事判决，认定娄振兴犯故意伤害罪，判处死刑、缓期二年执行（死刑考验期自2011年12月6日起至2013年12月5日止），剥夺政治权利终身，由被告人娄振兴赔偿民事诉讼原告人各项经济损失共计59768.02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判决发生法律效力后于2011年12月12日交付贵州省遵义监狱执行。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2014年6月18日经贵州省高级人民法院裁定减为无期徒刑，剥夺政治权利终身；2016年10月10日经贵州省高级人民法院裁定减为有期徒刑十八年六个月，剥夺政治权利改为七年；2019年5月30日经贵州省遵义市中级人民法院裁定减去有期徒刑九个月，剥夺政治权利七年不变；2023年4月23日经贵州省遵义市中级人民法院裁定减去有期徒刑五个月，剥夺政治权利七年不变。（现刑期自2016年10月10日起至2034年2月9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一、认罪悔罪方面：罪犯娄振兴在服刑期间，能服从法院判决，认罪悔罪。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二、遵守法律法规及监规方面：认真遵守法律法规及监规纪律，服从管教，无违规违纪。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五、履行财产性判项方面：民事赔偿人民币59768.02元(已全部履行)，月均消费：276.85元，余额：18889.43元  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2021年8月至2022年1月获1个表扬；2022年2月至2022年7月获1个表扬；2022年8月至2023年1月获1个表扬；2023年2月至2023年7月获1个表扬；2023年8月至2024年1月获1个表扬；2024年2月至2024年7月获1个表扬；2024年8月至2025年1月获1个表扬；2025年2月至2025年6月获1个表扬；共获得8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经审查，我院认为，罪犯娄振兴符合提请减刑条件。未发现提请减刑建议不当，同意将案件交监狱长办公会审核。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综上所述，罪犯娄振兴自上次裁定减刑以来，能认真遵守监规，接受教育改造，确有悔改表现。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娄振兴提请减去有期徒刑八个月，剥夺政治权利七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A2E15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2026-03-18T02:23:33Z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