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(2026)遵监提请减字第92号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罪犯吴华，男，汉族，初中文化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/>
          <w:sz w:val="32"/>
          <w:szCs w:val="32"/>
        </w:rPr>
        <w:t>贵州省湄潭县人，现在贵州省遵义监狱服刑。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2009年3月3日，贵州省遵义市中级人民法院作出（2008）遵市法刑二初字第44号刑事判决，认定罪犯吴华犯故意伤害罪，判处无期徒刑，剥夺政治权利终身。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判决发生法律效力后于2009年7月10日交付贵州省遵义监狱执行。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2012年4月25日经贵州省高级人民法院裁定减为有期徒刑十八年三个月，剥夺政治权利改为七年；2015年1月26日经贵州省遵义市中级人民法院裁定减去有期徒刑一年七个月，剥夺政治权利七年；2017年6月29日经贵州省遵义市中级人民法院裁定减去有期徒刑九个月，剥夺政治权利七年；2019年11月12日经贵州省遵义市中级人民法院裁定减去有期徒刑九个月，剥夺政治权利七年；2023年4月23日经贵州省遵义市中级人民法院裁定减去有期徒刑四个月，剥夺政治权利七年。（现刑期自2012年4月25日起至2027年2月24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一、认罪悔罪方面：罪犯吴华在服刑期间，能服从法院判决，认罪悔罪。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二、遵守法律法规及监规方面：罪犯吴华在服刑期间，认真遵守法律法规及监规纪律，服从管教。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五、履行财产性判项方面：无；狱内月均消费：60.61元，狱内账户余额：8361.4元。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10月至2022年3月获1个表扬；2022年4月至2022年9月获1个表扬；2022年10月至2023年3月获1个表扬；2023年4月至2023年9月获1个表扬；2023年10月至2024年3月获1个表扬；2024年4月至2024年9月获1个表扬；2024年10月至2025年3月获表扬和物质奖励1次；共获得7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经审查，我院认为，罪犯吴华符合提请减刑条件。未发现提请减刑建议不当，同意将案件交监狱长办公会审核。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综上所述，罪犯吴华自上次裁定减刑以来，能认真遵守监规，接受教育改造，确有悔改表现。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吴华提请减去有期徒刑八个月，剥夺政治权利七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DEA56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2026-03-18T02:28:02Z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