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(2026)遵监提请减字第101号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罪犯金志祥，男，布依族，小学文化，贵州省修文县人，现在贵州省遵义监狱服刑。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2020年7月21日，贵州省修文县人民法院作出（2020）黔0123刑初106号刑事判决，认定罪犯金志祥犯强奸罪判处有期徒刑八年五个月；猥亵儿童罪，判处有期徒刑二年五个月，总和刑期十年十个月，决定执行有期徒刑十年。（原判刑期自2020年4月15日起至2030年4月14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判决发生法律效力后2020年9月27日交付贵州省金西监狱执行，2020年11月3日从贵州省金西监狱调入贵州省遵义监狱服刑。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服刑期间执行刑期变动情况：2023年11月14日经贵州省遵义市中级人民法院裁定减去有期徒刑六个月。（现刑期自2020年4月15日起至2029年10月14日止）。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一、认罪悔罪方面：罪犯金志祥在服刑期间，能服从法院判决，认罪悔罪。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二、遵守法律法规及监规方面：罪犯金志祥在服刑期间，认真遵守法律法规及监规纪律，服从管教。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五、履行财产性判项方面：无；狱内月均消费：147.16元，狱内账户余额：1445.01元。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5月至2022年10月获表扬和物质奖励1次；2022年11月至2023年3月获1个表扬；2023年4月至2023年8月获1个表扬；2023年9月至2024年2月获1个表扬；2024年3月至2024年7月获1个表扬；2024年8月至2024年12月获1个表扬；2025年1月至2025年6月获表扬和物质奖励1次；共获得7个表扬、2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从严情形：性侵未成年人。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经审查，我院认为，罪犯金志祥符合提请减刑条件。未发现提请减刑建议不当，同意将案件交监狱长办公会审核。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综上所述，罪犯金志祥自上次裁定减刑以来，能认真遵守监规，接受教育改造，确有悔改表现。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金志祥提请减去有期徒刑七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DCC2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2026-03-18T02:30:24Z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