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(2026)遵监提请减字第117号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罪犯赵义凡，男，汉族，小学文化，贵州省湄潭县人，现在贵州省遵义监狱服刑。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2015年8月21日，贵州省遵义市中级人民法院作出（2015）遵市法刑一初字第42号刑事判决，认定赵义凡犯故意伤害罪，判处有期徒刑十五年，剥夺政治权利五年。刑期自2015年3月25日起至2030年3月24日止。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判决发生法律效力后于2015年10月9日交付贵州省遵义监狱执行。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9月27日经贵州省遵义市中级人民法院裁定减去有期徒刑九个月，剥夺政治权利五年；2020年11月11日经贵州省遵义市中级人民法院裁定减去有期徒刑九个月，剥夺政治权利五年；2024年1月19日经贵州省遵义市中级人民法院裁定减去有期徒刑八个月，剥夺政治权利五年。（现刑期自2015年3月25日至2028年1月24日止）。（现刑期自2015年3月25日起至2028年1月24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一、认罪悔罪方面：罪犯赵义凡在服刑期间，能服从法院判决，认罪悔罪。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二、遵守法律法规及监规方面：罪犯赵义凡在服刑期间，认真遵守法律法规及监规纪律，服从管教。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五、履行财产性判项方面：无。月均消费60.37元，狱内账户余额400.22元。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六、考核奖励情况：2022年10月至2023年3月获1个表扬；2023年4月至2023年9月获1个表扬；2023年10月至2024年3月获1个表扬；2024年4月至2024年9月获1个表扬；2024年10月至2025年3月获1个表扬；共获得5个表扬。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经审查，我院认为，罪犯赵义凡符合提请减刑条件。未发现提请减刑建议不当，同意将案件交监狱长办公会审核。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综上所述，罪犯赵义凡自上次裁定减刑以来，能认真遵守监规，接受教育改造，确有悔改表现。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赵义凡提请减去有期徒刑八个月，剥夺政治权利五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06536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2026-03-18T02:33:54Z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