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罪犯金世忠，男，汉族，文盲，贵州省纳雍县人，现在贵州省遵义监狱服刑。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4月9日，贵州省毕节市中级人民法院作出（2020）黔05刑初38号刑事判决，认定金世忠犯故意伤害罪，判处有期徒刑十五年，剥夺政治权利三年。2020年8月6日，贵州省高级人民法院作出（2020）黔刑终字第165号刑事裁定，驳回上诉，维持原判。（刑期自2019年7月27日起至2034年7月26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判决发生法律效力后2020年11月11日交付贵州省白云监狱执行，2020年12月14日调入贵州省遵义监狱服刑。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服刑期间执行刑期变动情况：2023年11月14日经贵州省遵义市中级人民法院裁定减去有期徒刑七个月，剥夺政治权利三年不变。（现刑期自2019年7月27日起至2033年12月26日止）。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一、认罪悔罪方面：罪犯金世忠在服刑期间，能服从法院判决，认罪悔罪。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二、遵守法律法规及监规方面：罪犯金世忠在服刑期间，认真遵守法律法规及监规纪律，服从管教。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五、履行财产性判项方面：无。狱内月均消费22.55元，狱内账户余额3560.23元 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六、考核奖励情况：2022年8月至2023年1月获1个表扬；2023年2月至2023年8月获1个表扬；2023年9月至2024年2月获1个表扬；2024年3月至2024年8月获1个表扬；2024年9月至2025年2月获1个表扬；共获得5个表扬。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经审查，我院认为，罪犯金世忠符合提请减刑条件。未发现提请减刑建议不当，同意将案件交监狱长办公会审核。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综上所述，罪犯金世忠自上次裁定减刑以来，能认真遵守监规，接受教育改造，确有悔改表现。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金世忠提请减去有期徒刑八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630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2026-03-18T02:34:14Z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